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AD33E">
      <w:pPr>
        <w:jc w:val="center"/>
        <w:rPr>
          <w:rFonts w:hint="default" w:ascii="宋体" w:hAnsi="宋体" w:eastAsia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采购清单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bookmarkStart w:id="0" w:name="_GoBack"/>
      <w:bookmarkEnd w:id="0"/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 w14:paraId="6CD6DE04">
      <w:pPr>
        <w:jc w:val="center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E88B9E2">
      <w:pPr>
        <w:spacing w:line="500" w:lineRule="exact"/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一、采购清单</w:t>
      </w:r>
    </w:p>
    <w:tbl>
      <w:tblPr>
        <w:tblStyle w:val="4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76"/>
        <w:gridCol w:w="5616"/>
        <w:gridCol w:w="1596"/>
        <w:gridCol w:w="599"/>
        <w:gridCol w:w="598"/>
      </w:tblGrid>
      <w:tr w14:paraId="05F8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Align w:val="center"/>
          </w:tcPr>
          <w:p w14:paraId="2C7DE0BF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6" w:type="dxa"/>
            <w:vAlign w:val="center"/>
          </w:tcPr>
          <w:p w14:paraId="7423BEC6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616" w:type="dxa"/>
            <w:vAlign w:val="center"/>
          </w:tcPr>
          <w:p w14:paraId="2287EA16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技术参数要求</w:t>
            </w:r>
          </w:p>
        </w:tc>
        <w:tc>
          <w:tcPr>
            <w:tcW w:w="1596" w:type="dxa"/>
            <w:vAlign w:val="center"/>
          </w:tcPr>
          <w:p w14:paraId="532C1207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参考图片</w:t>
            </w:r>
          </w:p>
        </w:tc>
        <w:tc>
          <w:tcPr>
            <w:tcW w:w="599" w:type="dxa"/>
            <w:vAlign w:val="center"/>
          </w:tcPr>
          <w:p w14:paraId="5CBC6DAF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598" w:type="dxa"/>
            <w:vAlign w:val="center"/>
          </w:tcPr>
          <w:p w14:paraId="43C8B5EE"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采购量</w:t>
            </w:r>
          </w:p>
        </w:tc>
      </w:tr>
      <w:tr w14:paraId="03FC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Align w:val="center"/>
          </w:tcPr>
          <w:p w14:paraId="1FB2B638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6" w:type="dxa"/>
            <w:vAlign w:val="center"/>
          </w:tcPr>
          <w:p w14:paraId="2605336C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锂电池均衡仪</w:t>
            </w:r>
          </w:p>
        </w:tc>
        <w:tc>
          <w:tcPr>
            <w:tcW w:w="5616" w:type="dxa"/>
          </w:tcPr>
          <w:p w14:paraId="01889C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锂电池均衡仪含有工具和可调充电机功能。</w:t>
            </w:r>
          </w:p>
          <w:p w14:paraId="70DF52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对24串以下的串连型锂电池组设计的压差均衡器方案。可适用不同电化学性质的锂电芯，如三元、磷酸铁锂、钛酸锂电池组的压差平衡。可提供均衡中所需的欠压、过压、过流、短路、过温、低温保护，并具有实时监测各电芯电压、温度、等功能。</w:t>
            </w:r>
          </w:p>
          <w:p w14:paraId="4261D15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最大均衡电流：</w:t>
            </w:r>
            <w:r>
              <w:rPr>
                <w:rFonts w:hint="eastAsia" w:ascii="宋体" w:hAnsi="宋体" w:cs="宋体"/>
                <w:sz w:val="22"/>
                <w:szCs w:val="22"/>
              </w:rPr>
              <w:t>≥</w:t>
            </w:r>
            <w:r>
              <w:rPr>
                <w:rFonts w:hint="eastAsia" w:cs="宋体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0A</w:t>
            </w:r>
          </w:p>
          <w:p w14:paraId="3DA8AF0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支持电芯串数</w:t>
            </w:r>
            <w:r>
              <w:rPr>
                <w:rFonts w:hint="eastAsia"/>
                <w:sz w:val="22"/>
                <w:szCs w:val="22"/>
              </w:rPr>
              <w:t>：1-24串</w:t>
            </w:r>
          </w:p>
          <w:p w14:paraId="0B4F70C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支持通道数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sz w:val="22"/>
                <w:szCs w:val="22"/>
              </w:rPr>
              <w:t>≥</w:t>
            </w:r>
            <w:r>
              <w:rPr>
                <w:rFonts w:hint="eastAsia"/>
                <w:sz w:val="22"/>
                <w:szCs w:val="22"/>
              </w:rPr>
              <w:t>24</w:t>
            </w:r>
          </w:p>
          <w:p w14:paraId="01A5E52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支持电芯类型</w:t>
            </w:r>
            <w:r>
              <w:rPr>
                <w:rFonts w:hint="eastAsia"/>
                <w:sz w:val="22"/>
                <w:szCs w:val="22"/>
              </w:rPr>
              <w:t>：三元锂、磷酸铁锂、钛酸锂等</w:t>
            </w:r>
          </w:p>
          <w:p w14:paraId="5454A36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均衡模式</w:t>
            </w:r>
            <w:r>
              <w:rPr>
                <w:rFonts w:hint="eastAsia"/>
                <w:sz w:val="22"/>
                <w:szCs w:val="22"/>
              </w:rPr>
              <w:t>：充电均衡、强制均衡、自动均衡</w:t>
            </w:r>
          </w:p>
          <w:p w14:paraId="4E0D233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显示屏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sz w:val="22"/>
                <w:szCs w:val="22"/>
              </w:rPr>
              <w:t>≥</w:t>
            </w:r>
            <w:r>
              <w:rPr>
                <w:rFonts w:hint="eastAsia"/>
                <w:sz w:val="22"/>
                <w:szCs w:val="22"/>
              </w:rPr>
              <w:t>5寸高清</w:t>
            </w:r>
          </w:p>
          <w:p w14:paraId="690C21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紧急停止</w:t>
            </w:r>
            <w:r>
              <w:rPr>
                <w:rFonts w:hint="eastAsia"/>
                <w:sz w:val="22"/>
                <w:szCs w:val="22"/>
              </w:rPr>
              <w:t>：电源按钮</w:t>
            </w:r>
          </w:p>
          <w:p w14:paraId="11770AB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保护功能</w:t>
            </w:r>
            <w:r>
              <w:rPr>
                <w:rFonts w:hint="eastAsia"/>
                <w:sz w:val="22"/>
                <w:szCs w:val="22"/>
              </w:rPr>
              <w:t>：反接保护、独立继电器保护、过温保护、低温保护、掉线保护、过压保护、压差过大保护、设备其他异常保护等</w:t>
            </w:r>
          </w:p>
          <w:p w14:paraId="1EE27A5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报警提醒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596" w:type="dxa"/>
            <w:vAlign w:val="center"/>
          </w:tcPr>
          <w:p w14:paraId="717BA14F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</w:rPr>
              <w:drawing>
                <wp:inline distT="0" distB="0" distL="114300" distR="114300">
                  <wp:extent cx="857885" cy="733425"/>
                  <wp:effectExtent l="0" t="0" r="18415" b="9525"/>
                  <wp:docPr id="3" name="图片 2" descr="C:/Users/Administrator/Desktop/均衡仪.png均衡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Administrator/Desktop/均衡仪.png均衡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  <w:vAlign w:val="center"/>
          </w:tcPr>
          <w:p w14:paraId="2EE847C4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98" w:type="dxa"/>
            <w:vAlign w:val="center"/>
          </w:tcPr>
          <w:p w14:paraId="2015EB9E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E8B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74" w:type="dxa"/>
            <w:vAlign w:val="center"/>
          </w:tcPr>
          <w:p w14:paraId="15A40028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6" w:type="dxa"/>
            <w:vAlign w:val="center"/>
          </w:tcPr>
          <w:p w14:paraId="4FA6C5B6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新能源汽车故障诊断仪</w:t>
            </w:r>
          </w:p>
        </w:tc>
        <w:tc>
          <w:tcPr>
            <w:tcW w:w="5616" w:type="dxa"/>
          </w:tcPr>
          <w:p w14:paraId="14F693B1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功能：</w:t>
            </w:r>
          </w:p>
          <w:p w14:paraId="528CAAF7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1.无需额外购买C端，一键实现远程编程</w:t>
            </w:r>
          </w:p>
          <w:p w14:paraId="7987B260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2.支持在线编程功能 </w:t>
            </w:r>
          </w:p>
          <w:p w14:paraId="65D2F540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3.覆盖新能源汽车、燃油车上万种车型，支持读码、清码、数据流、动作测试等</w:t>
            </w:r>
          </w:p>
          <w:p w14:paraId="69177323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4.支持协议: CAN、DOIP协议</w:t>
            </w:r>
          </w:p>
        </w:tc>
        <w:tc>
          <w:tcPr>
            <w:tcW w:w="1596" w:type="dxa"/>
            <w:vAlign w:val="center"/>
          </w:tcPr>
          <w:p w14:paraId="43A8EC38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  <w:szCs w:val="22"/>
              </w:rPr>
              <w:drawing>
                <wp:inline distT="0" distB="0" distL="114300" distR="114300">
                  <wp:extent cx="862330" cy="681355"/>
                  <wp:effectExtent l="0" t="0" r="1397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  <w:vAlign w:val="center"/>
          </w:tcPr>
          <w:p w14:paraId="427AE667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98" w:type="dxa"/>
            <w:vAlign w:val="center"/>
          </w:tcPr>
          <w:p w14:paraId="7FE5D0E2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72E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Align w:val="center"/>
          </w:tcPr>
          <w:p w14:paraId="38132110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6" w:type="dxa"/>
            <w:vAlign w:val="center"/>
          </w:tcPr>
          <w:p w14:paraId="50E83E86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新能源汽车电工电子实验箱</w:t>
            </w:r>
          </w:p>
        </w:tc>
        <w:tc>
          <w:tcPr>
            <w:tcW w:w="5616" w:type="dxa"/>
          </w:tcPr>
          <w:p w14:paraId="196CCE44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功能特点</w:t>
            </w:r>
          </w:p>
          <w:p w14:paraId="7E31B814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1.直流电源：提供双+5V/0.5A和双0～30V/0.5A的稳压电源四路,均有短路保护自动恢复功能,均具有短路报警指示功能。</w:t>
            </w:r>
          </w:p>
          <w:p w14:paraId="546FCC01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2.脉冲信号源：提供正、负输出单次脉冲频率：1KHZ、10KHZ、100KHZ、500KHZ连续可调的一组方波脉冲源，通过频率细调电位器对输出频率进行细调。</w:t>
            </w:r>
          </w:p>
          <w:p w14:paraId="5FF21C33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3.配备三态逻辑测试笔：能够用光线颜色区分高电平、低电平、阻态或电平处于不高不低的电平。</w:t>
            </w:r>
          </w:p>
          <w:p w14:paraId="6630C88F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4.配置可调频率和占空比的驱动装置，可直接驱动汽车点火喷油及小型电机等。</w:t>
            </w:r>
          </w:p>
          <w:p w14:paraId="788B15B3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5.具备晶体管测试功能，将附带的电子元件插入元件插座，一键检测晶体管元器件的特性。</w:t>
            </w:r>
          </w:p>
          <w:p w14:paraId="0ACC689F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.可自动侦测NPN和PNP三极管、场效应管、二极管、双二极管、晶闸管、可控硅等元器件，自动判别上述晶体管引脚分布。支持测试NPN和PNP三极管共射极电流放大系数，基极-发射极阀值电压，截止时集电极-发射极漏电流。</w:t>
            </w:r>
          </w:p>
          <w:p w14:paraId="5ED64126"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7.配有实验连接线和实验指导书等。</w:t>
            </w:r>
          </w:p>
        </w:tc>
        <w:tc>
          <w:tcPr>
            <w:tcW w:w="1596" w:type="dxa"/>
            <w:vAlign w:val="center"/>
          </w:tcPr>
          <w:p w14:paraId="5C8E4125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drawing>
                <wp:inline distT="0" distB="0" distL="114300" distR="114300">
                  <wp:extent cx="704215" cy="712470"/>
                  <wp:effectExtent l="0" t="0" r="0" b="11430"/>
                  <wp:docPr id="23" name="图片 23" descr="C:/Users/AAAT/AppData/Local/Temp/picturecompress_20210123160853/output_1.pn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AAT/AppData/Local/Temp/picturecompress_20210123160853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570" t="5472" r="21037" b="6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  <w:vAlign w:val="center"/>
          </w:tcPr>
          <w:p w14:paraId="58660953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98" w:type="dxa"/>
            <w:vAlign w:val="center"/>
          </w:tcPr>
          <w:p w14:paraId="5D8089AC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DDA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Align w:val="center"/>
          </w:tcPr>
          <w:p w14:paraId="3950FA11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6" w:type="dxa"/>
            <w:vAlign w:val="center"/>
          </w:tcPr>
          <w:p w14:paraId="72963829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电池管理系统原理实训箱</w:t>
            </w:r>
          </w:p>
        </w:tc>
        <w:tc>
          <w:tcPr>
            <w:tcW w:w="5616" w:type="dxa"/>
          </w:tcPr>
          <w:p w14:paraId="70AA4FCB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功能要求</w:t>
            </w:r>
          </w:p>
          <w:p w14:paraId="50C41415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1.安装电路面板，面板上喷绘有电池管理系统原理图，并配有BMS信息显示屏。支持电池管理系统原理分析教学。</w:t>
            </w:r>
          </w:p>
          <w:p w14:paraId="0D4354DB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2.电池组采用2P13S的18650锂电池</w:t>
            </w:r>
          </w:p>
          <w:p w14:paraId="6B1B0642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3.BMS系统具有多个功能模块，包含：主控制器BMC、电池信息采集从控模块BIC。</w:t>
            </w:r>
          </w:p>
          <w:p w14:paraId="06CC14BB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4.配置有正负极直流接触器、预充接触器、预充电阻，接触器由控制器控制工作与否。接触器采用新能源汽车专用的直流接触器实物部件。</w:t>
            </w:r>
          </w:p>
          <w:p w14:paraId="5E43FC0F"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5.系统具备预充检测功能，可以实现预充异常时不能控制吸合主接触器、预充完成后才能控制吸合主接触器。系统支持人为干预演示预充成功、预充失败、预充超时三种预充状态情况。</w:t>
            </w:r>
          </w:p>
          <w:p w14:paraId="7129B924">
            <w:pP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.信息显示屏，可以实时显示动力电池组的关键信息，包含：电量SOC值、单体电芯的充电截止和放电终止电压、高低温保护值、系统电芯数量、系统总电压、系统总电流、系统总功率、电流方向、充电与放电控制信号状态、电芯最高与最低温度值、电芯最高与最低电压值、每个采集器上各个电芯的电压值、每个采集器上各个温度传感器的信号值等。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7.配置充电器，连接AC220V电源后可以对电池组进行充电，充电时的电池组状态可以在信息显示屏上查看。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8.BMS系统各模块之间通信，不受干扰。</w:t>
            </w:r>
          </w:p>
        </w:tc>
        <w:tc>
          <w:tcPr>
            <w:tcW w:w="1596" w:type="dxa"/>
            <w:vAlign w:val="center"/>
          </w:tcPr>
          <w:p w14:paraId="68B09748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</w:rPr>
              <w:drawing>
                <wp:inline distT="0" distB="0" distL="114300" distR="114300">
                  <wp:extent cx="822325" cy="929005"/>
                  <wp:effectExtent l="0" t="0" r="15875" b="4445"/>
                  <wp:docPr id="4" name="图片 1" descr="BMS实训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BMS实训箱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  <w:vAlign w:val="center"/>
          </w:tcPr>
          <w:p w14:paraId="59A89313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98" w:type="dxa"/>
            <w:vAlign w:val="center"/>
          </w:tcPr>
          <w:p w14:paraId="331F2BA6"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 w14:paraId="55BE0CC5">
      <w:pPr>
        <w:spacing w:line="500" w:lineRule="exact"/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二、采购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要求</w:t>
      </w:r>
    </w:p>
    <w:p w14:paraId="4EB8D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2" w:firstLineChars="200"/>
        <w:textAlignment w:val="auto"/>
        <w:rPr>
          <w:rFonts w:hint="eastAsia" w:ascii="宋体" w:hAnsi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采购项目技术质量要求：</w:t>
      </w:r>
    </w:p>
    <w:p w14:paraId="3F63273A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（1）符合国家标准与行业标准</w:t>
      </w:r>
    </w:p>
    <w:p w14:paraId="59E4B9E1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遵循国家标准：设备需符合国家相关标准和规范，确保产品质量和安全性能。</w:t>
      </w:r>
    </w:p>
    <w:p w14:paraId="36BBD677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满足行业标准：设备还需满足新能源汽车维修行业的标准和要求，确保与行业内其他设备的兼容性和互操作性。</w:t>
      </w:r>
    </w:p>
    <w:p w14:paraId="5F1F5205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（2）操作便捷性与智能化</w:t>
      </w:r>
    </w:p>
    <w:p w14:paraId="4F9A6BE6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人性化设计：设备应具备人性化的操作界面和操作流程，便于学生快速上手和使用。</w:t>
      </w:r>
    </w:p>
    <w:p w14:paraId="722A2779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（3）设备安全性、稳定性与可靠性</w:t>
      </w:r>
    </w:p>
    <w:p w14:paraId="563953C1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高压电安全性能：设备需具备高绝缘性能，确保在高压电环境下的安全操作，防止触电事故。</w:t>
      </w:r>
    </w:p>
    <w:p w14:paraId="704EE442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长期稳定运行：设备应具备长期稳定运行的能力，确保在长时间使用下仍能保持高精度和高效率。</w:t>
      </w:r>
    </w:p>
    <w:p w14:paraId="1D97AD51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故障率低：设备应经过严格的质量控制和测试，确保故障率低，减少维修成本和时间。</w:t>
      </w:r>
    </w:p>
    <w:p w14:paraId="5EE0C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2" w:firstLineChars="200"/>
        <w:textAlignment w:val="auto"/>
        <w:rPr>
          <w:rFonts w:hint="eastAsia" w:ascii="宋体" w:hAnsi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2.质保期要修</w:t>
      </w:r>
    </w:p>
    <w:p w14:paraId="6F63E495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整机质保期：3年</w:t>
      </w:r>
    </w:p>
    <w:p w14:paraId="0C6F0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2" w:firstLineChars="200"/>
        <w:textAlignment w:val="auto"/>
        <w:rPr>
          <w:rFonts w:hint="eastAsia" w:ascii="宋体" w:hAnsi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3.付款</w:t>
      </w:r>
    </w:p>
    <w:p w14:paraId="31727007">
      <w:pPr>
        <w:spacing w:line="500" w:lineRule="exact"/>
        <w:ind w:firstLine="440" w:firstLineChars="200"/>
        <w:rPr>
          <w:rFonts w:hint="default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（1）设备验收合格后支付95%合同款。</w:t>
      </w:r>
    </w:p>
    <w:p w14:paraId="7B7BA7F0">
      <w:pPr>
        <w:spacing w:line="500" w:lineRule="exact"/>
        <w:ind w:firstLine="440" w:firstLineChars="200"/>
        <w:rPr>
          <w:rFonts w:hint="default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（2）设备使用正常支付5%质保金。</w:t>
      </w:r>
    </w:p>
    <w:p w14:paraId="068AD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2" w:firstLineChars="200"/>
        <w:textAlignment w:val="auto"/>
        <w:rPr>
          <w:rFonts w:hint="eastAsia" w:ascii="宋体" w:hAnsi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4、采购项目服务要求：</w:t>
      </w:r>
    </w:p>
    <w:p w14:paraId="16AFE8C5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（1）售前服务要求</w:t>
      </w:r>
    </w:p>
    <w:p w14:paraId="75817E0B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供应商应提供详细的技术咨询，解答对设备性能、技术参数、应用场景等方面的疑问。提供设备布局、安装指导等前期准备工作的建议和支持。</w:t>
      </w:r>
    </w:p>
    <w:p w14:paraId="03CD59D8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（2）售中服务要求</w:t>
      </w:r>
    </w:p>
    <w:p w14:paraId="77FC7208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1）及时交货：供应商应严格按照合同约定的交货时间（签订合同后一个月内）交付设备，确保能够及时投入使用。如有特殊情况导致交货延迟，供应商应提前通知并说明原因。</w:t>
      </w:r>
    </w:p>
    <w:p w14:paraId="2AAF9073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2）安装调试：供应商应派遣专业技术人员负责设备的安装调试工作，确保设备能够正常运行。安装调试过程中，技术人员应对专业教师进行必要的操作培训，使专业教师能够熟练掌握设备的使用方法。</w:t>
      </w:r>
    </w:p>
    <w:p w14:paraId="2C4542DA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（3）售后服务要求</w:t>
      </w:r>
    </w:p>
    <w:p w14:paraId="78226C13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1）质保期服务：明确设备的质保期限，质保期内设备出现非人为损坏的故障，供应商应免费提供维修或更换服务。质保期外，供应商应提供有偿维修服务，并明确收费标准。</w:t>
      </w:r>
    </w:p>
    <w:p w14:paraId="5B990EA9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2）维修响应速度：供应商应设立专门的售后服务热线或在线服务平台，及时响应维修请求。在接到维修请求后，供应商应3天内安排技术人员到现场进行维修，确保设备能够尽快恢复正常运行。</w:t>
      </w:r>
    </w:p>
    <w:p w14:paraId="19D449AE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3）技术支持：提供设备使用手册、操作视频等技术支持资料，方便专业随时查阅和学习。</w:t>
      </w:r>
    </w:p>
    <w:p w14:paraId="001B5B5A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4）备件供应与升级：供应商应确保常用备件的充足供应，以便在设备出现故障时能够及时更换。对于设备的软件升级和性能优化，供应商应及时通知用户并提供升级服务。</w:t>
      </w:r>
    </w:p>
    <w:p w14:paraId="348C3595">
      <w:pPr>
        <w:spacing w:line="500" w:lineRule="exact"/>
        <w:ind w:firstLine="440" w:firstLineChars="200"/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5）文档资料齐全：供应商应提供完整的设备操作手册、维护手册等文档资料给用户。确保文档资料准确无误且易于理解，方便用户查阅和使用。</w:t>
      </w:r>
    </w:p>
    <w:p w14:paraId="01F05D37">
      <w:pPr>
        <w:jc w:val="center"/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34BECC">
      <w:pPr>
        <w:jc w:val="center"/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88A4AD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38DF37"/>
    <w:multiLevelType w:val="singleLevel"/>
    <w:tmpl w:val="4438DF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4A3B37E7"/>
    <w:rsid w:val="000976F7"/>
    <w:rsid w:val="000E4152"/>
    <w:rsid w:val="00105DA1"/>
    <w:rsid w:val="00183C38"/>
    <w:rsid w:val="001F6159"/>
    <w:rsid w:val="002737EC"/>
    <w:rsid w:val="00296847"/>
    <w:rsid w:val="00314D48"/>
    <w:rsid w:val="00346C1A"/>
    <w:rsid w:val="0035771B"/>
    <w:rsid w:val="003B1D91"/>
    <w:rsid w:val="003B4201"/>
    <w:rsid w:val="004F22E7"/>
    <w:rsid w:val="0050385B"/>
    <w:rsid w:val="005762C9"/>
    <w:rsid w:val="00585C97"/>
    <w:rsid w:val="00693ED2"/>
    <w:rsid w:val="00762B40"/>
    <w:rsid w:val="007C3585"/>
    <w:rsid w:val="00813F55"/>
    <w:rsid w:val="009349BA"/>
    <w:rsid w:val="009721D6"/>
    <w:rsid w:val="009A791D"/>
    <w:rsid w:val="009D3A02"/>
    <w:rsid w:val="009F4EDD"/>
    <w:rsid w:val="00A53FB4"/>
    <w:rsid w:val="00C0739D"/>
    <w:rsid w:val="00C241A9"/>
    <w:rsid w:val="00CE177A"/>
    <w:rsid w:val="00D34CBB"/>
    <w:rsid w:val="00D40D74"/>
    <w:rsid w:val="00D87AB2"/>
    <w:rsid w:val="00E830B6"/>
    <w:rsid w:val="00E87ACB"/>
    <w:rsid w:val="00F4354C"/>
    <w:rsid w:val="00F55521"/>
    <w:rsid w:val="00FB17C3"/>
    <w:rsid w:val="00FD5A7D"/>
    <w:rsid w:val="03315CCB"/>
    <w:rsid w:val="03A32C74"/>
    <w:rsid w:val="08125368"/>
    <w:rsid w:val="0A885A94"/>
    <w:rsid w:val="0E2D1235"/>
    <w:rsid w:val="11F748B7"/>
    <w:rsid w:val="12503FC7"/>
    <w:rsid w:val="132C59D7"/>
    <w:rsid w:val="16871FBF"/>
    <w:rsid w:val="1D331EBB"/>
    <w:rsid w:val="222D60D3"/>
    <w:rsid w:val="258D3567"/>
    <w:rsid w:val="2F6E4F19"/>
    <w:rsid w:val="34735BC7"/>
    <w:rsid w:val="374E17CB"/>
    <w:rsid w:val="37991BC4"/>
    <w:rsid w:val="39930ABA"/>
    <w:rsid w:val="44AE67A8"/>
    <w:rsid w:val="4A3B37E7"/>
    <w:rsid w:val="4D6849F5"/>
    <w:rsid w:val="512C45F2"/>
    <w:rsid w:val="513B7511"/>
    <w:rsid w:val="53D8739D"/>
    <w:rsid w:val="55C26CE9"/>
    <w:rsid w:val="5CE07C56"/>
    <w:rsid w:val="6142679E"/>
    <w:rsid w:val="665723A3"/>
    <w:rsid w:val="714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2197</Words>
  <Characters>2299</Characters>
  <Lines>27</Lines>
  <Paragraphs>7</Paragraphs>
  <TotalTime>399</TotalTime>
  <ScaleCrop>false</ScaleCrop>
  <LinksUpToDate>false</LinksUpToDate>
  <CharactersWithSpaces>2301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2024-09-29T07:00:00Z</dcterms:created>
  <dc:creator>张金莲</dc:creator>
  <cp:lastModifiedBy>晓</cp:lastModifiedBy>
  <dcterms:modified xsi:type="dcterms:W3CDTF">2024-10-09T00:01:20Z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87740737BADC49E9B156677AB2CC2058_13</vt:lpwstr>
  </property>
</Properties>
</file>